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8DB997" w14:textId="266F9742" w:rsidR="004D2743" w:rsidRPr="00E47578" w:rsidRDefault="00D30A8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47578">
        <w:rPr>
          <w:sz w:val="24"/>
          <w:szCs w:val="24"/>
        </w:rPr>
        <w:t xml:space="preserve">      Administrator financiar I(S), </w:t>
      </w:r>
      <w:proofErr w:type="spellStart"/>
      <w:r w:rsidRPr="00E47578">
        <w:rPr>
          <w:sz w:val="24"/>
          <w:szCs w:val="24"/>
        </w:rPr>
        <w:t>pozitia</w:t>
      </w:r>
      <w:proofErr w:type="spellEnd"/>
      <w:r w:rsidRPr="00E47578">
        <w:rPr>
          <w:sz w:val="24"/>
          <w:szCs w:val="24"/>
        </w:rPr>
        <w:t xml:space="preserve"> 48 si administrator financiar II(S), </w:t>
      </w:r>
      <w:proofErr w:type="spellStart"/>
      <w:r w:rsidRPr="00E47578">
        <w:rPr>
          <w:sz w:val="24"/>
          <w:szCs w:val="24"/>
        </w:rPr>
        <w:t>pozitia</w:t>
      </w:r>
      <w:proofErr w:type="spellEnd"/>
      <w:r w:rsidRPr="00E47578">
        <w:rPr>
          <w:sz w:val="24"/>
          <w:szCs w:val="24"/>
        </w:rPr>
        <w:t xml:space="preserve"> 49</w:t>
      </w:r>
      <w:r w:rsidR="00E47578" w:rsidRPr="00E47578">
        <w:rPr>
          <w:sz w:val="24"/>
          <w:szCs w:val="24"/>
        </w:rPr>
        <w:t xml:space="preserve">, in cadrul Compartimentului </w:t>
      </w:r>
      <w:proofErr w:type="spellStart"/>
      <w:r w:rsidR="00E47578" w:rsidRPr="00E47578">
        <w:rPr>
          <w:b/>
          <w:bCs/>
          <w:sz w:val="24"/>
          <w:szCs w:val="24"/>
        </w:rPr>
        <w:t>Achizitii</w:t>
      </w:r>
      <w:proofErr w:type="spellEnd"/>
      <w:r w:rsidR="00E47578" w:rsidRPr="00E47578">
        <w:rPr>
          <w:b/>
          <w:bCs/>
          <w:sz w:val="24"/>
          <w:szCs w:val="24"/>
        </w:rPr>
        <w:t xml:space="preserve"> Publice</w:t>
      </w:r>
    </w:p>
    <w:p w14:paraId="2B7D3235" w14:textId="77777777" w:rsidR="00D30A8D" w:rsidRDefault="00D30A8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15A5F5" w14:textId="77777777" w:rsidR="004D2743" w:rsidRDefault="00EA60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Bibliografia: </w:t>
      </w:r>
    </w:p>
    <w:p w14:paraId="368C6226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98/2016 privind </w:t>
      </w:r>
      <w:proofErr w:type="spellStart"/>
      <w:r>
        <w:rPr>
          <w:sz w:val="24"/>
          <w:szCs w:val="24"/>
        </w:rPr>
        <w:t>achiziţiile</w:t>
      </w:r>
      <w:proofErr w:type="spellEnd"/>
      <w:r>
        <w:rPr>
          <w:sz w:val="24"/>
          <w:szCs w:val="24"/>
        </w:rPr>
        <w:t xml:space="preserve"> publice, cu modificările și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ulterioare</w:t>
      </w:r>
    </w:p>
    <w:p w14:paraId="429E23D9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101/2016 din 19 mai 2016 privind remediile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căile de atac în materie de atribuire a contractelor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publică, a contractelor sectoriale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 contractelor de concesiune de lucrări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concesiune de servicii,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pentru organizarea și </w:t>
      </w:r>
      <w:proofErr w:type="spellStart"/>
      <w:r>
        <w:rPr>
          <w:sz w:val="24"/>
          <w:szCs w:val="24"/>
        </w:rPr>
        <w:t>funcţionarea</w:t>
      </w:r>
      <w:proofErr w:type="spellEnd"/>
      <w:r>
        <w:rPr>
          <w:sz w:val="24"/>
          <w:szCs w:val="24"/>
        </w:rPr>
        <w:t xml:space="preserve"> Consiliului </w:t>
      </w:r>
      <w:proofErr w:type="spellStart"/>
      <w:r>
        <w:rPr>
          <w:sz w:val="24"/>
          <w:szCs w:val="24"/>
        </w:rPr>
        <w:t>Naţional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Soluţionare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Contestaţiilor</w:t>
      </w:r>
      <w:proofErr w:type="spellEnd"/>
      <w:r>
        <w:rPr>
          <w:sz w:val="24"/>
          <w:szCs w:val="24"/>
        </w:rPr>
        <w:t xml:space="preserve">, cu modificările si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ulterioare</w:t>
      </w:r>
    </w:p>
    <w:p w14:paraId="47D20B2E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Hotararea</w:t>
      </w:r>
      <w:proofErr w:type="spellEnd"/>
      <w:r>
        <w:rPr>
          <w:sz w:val="24"/>
          <w:szCs w:val="24"/>
        </w:rPr>
        <w:t xml:space="preserve"> Nr. 395/2016 din 02.06.2016 pentru aprobarea Normelor metodologice de aplicare a prevederilor referitoare la atribuirea contractului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publica / acordului-cadru din Legea 98/2016 privind achizițiile publice, cu modificările și completările ulterioare</w:t>
      </w:r>
    </w:p>
    <w:p w14:paraId="6003CB43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Ordonanța nr. 13/2011 privind dobânda legală remuneratorie și penalizatoare pentru obligații </w:t>
      </w:r>
      <w:proofErr w:type="spellStart"/>
      <w:r>
        <w:rPr>
          <w:sz w:val="24"/>
          <w:szCs w:val="24"/>
        </w:rPr>
        <w:t>banesti</w:t>
      </w:r>
      <w:proofErr w:type="spellEnd"/>
      <w:r>
        <w:rPr>
          <w:sz w:val="24"/>
          <w:szCs w:val="24"/>
        </w:rPr>
        <w:t xml:space="preserve">, precum si pentru reglementarea unor masuri financiar - fiscal in domeniul bancar,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ulterioare</w:t>
      </w:r>
    </w:p>
    <w:p w14:paraId="0C99A43B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72/2013 privind măsurile pentru combaterea întârzierii în executarea </w:t>
      </w:r>
      <w:proofErr w:type="spellStart"/>
      <w:r>
        <w:rPr>
          <w:sz w:val="24"/>
          <w:szCs w:val="24"/>
        </w:rPr>
        <w:t>obligaţiilor</w:t>
      </w:r>
      <w:proofErr w:type="spellEnd"/>
      <w:r>
        <w:rPr>
          <w:sz w:val="24"/>
          <w:szCs w:val="24"/>
        </w:rPr>
        <w:t xml:space="preserve"> de plată a unor sume de bani rezultând din contracte încheiate între </w:t>
      </w:r>
      <w:proofErr w:type="spellStart"/>
      <w:r>
        <w:rPr>
          <w:sz w:val="24"/>
          <w:szCs w:val="24"/>
        </w:rPr>
        <w:t>profesionişti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între </w:t>
      </w:r>
      <w:proofErr w:type="spellStart"/>
      <w:r>
        <w:rPr>
          <w:sz w:val="24"/>
          <w:szCs w:val="24"/>
        </w:rPr>
        <w:t>aceştia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autorităţi</w:t>
      </w:r>
      <w:proofErr w:type="spellEnd"/>
      <w:r>
        <w:rPr>
          <w:sz w:val="24"/>
          <w:szCs w:val="24"/>
        </w:rPr>
        <w:t xml:space="preserve"> contractante,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ulterioare</w:t>
      </w:r>
    </w:p>
    <w:p w14:paraId="7D3E2B92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HG nr. 693/2021 privind înființarea, organizarea și funcționarea Institutului de Cercetare-Dezvoltare în Genomică, cu modificările ulterioare;</w:t>
      </w:r>
    </w:p>
    <w:p w14:paraId="551A6C76" w14:textId="77777777" w:rsidR="004D2743" w:rsidRDefault="00EA60CF">
      <w:pPr>
        <w:numPr>
          <w:ilvl w:val="0"/>
          <w:numId w:val="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Regulamentul de Organizare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Funcționare al Institutului de Cercetare-Dezvoltare în Genomică, publicat pe pagina de internet https://genomica.gov.ro.</w:t>
      </w:r>
    </w:p>
    <w:p w14:paraId="71BFBE69" w14:textId="77777777" w:rsidR="004D2743" w:rsidRDefault="00EA60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14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3F8B04A" w14:textId="77777777" w:rsidR="004D2743" w:rsidRDefault="00EA60CF">
      <w:pPr>
        <w:numPr>
          <w:ilvl w:val="0"/>
          <w:numId w:val="1"/>
        </w:numPr>
        <w:ind w:left="426"/>
        <w:jc w:val="both"/>
      </w:pPr>
      <w:r>
        <w:rPr>
          <w:b/>
          <w:sz w:val="24"/>
          <w:szCs w:val="24"/>
        </w:rPr>
        <w:t xml:space="preserve">Tematica: </w:t>
      </w:r>
    </w:p>
    <w:p w14:paraId="568FE152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Elaborarea programului anual al achizițiilor publice;</w:t>
      </w:r>
    </w:p>
    <w:p w14:paraId="68C3E9D8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Modul de calcul al valorii estimate a achiziției;</w:t>
      </w:r>
    </w:p>
    <w:p w14:paraId="3EEEE241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Modalități de atribuire – proceduri de atribuire;</w:t>
      </w:r>
    </w:p>
    <w:p w14:paraId="6D6AA8D5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Aplicarea procedurii licitație deschisă;</w:t>
      </w:r>
    </w:p>
    <w:p w14:paraId="2FDBEFB0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Instrumente și tehnici specifice de atribuire a contractelor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publică – Acordul-cadru;</w:t>
      </w:r>
    </w:p>
    <w:p w14:paraId="2386F39A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Criterii de atribuire;</w:t>
      </w:r>
    </w:p>
    <w:p w14:paraId="0B3C2B6C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Stabilirea </w:t>
      </w:r>
      <w:proofErr w:type="spellStart"/>
      <w:r>
        <w:rPr>
          <w:sz w:val="24"/>
          <w:szCs w:val="24"/>
        </w:rPr>
        <w:t>garantiei</w:t>
      </w:r>
      <w:proofErr w:type="spellEnd"/>
      <w:r>
        <w:rPr>
          <w:sz w:val="24"/>
          <w:szCs w:val="24"/>
        </w:rPr>
        <w:t xml:space="preserve"> de participare si de buna </w:t>
      </w:r>
      <w:proofErr w:type="spellStart"/>
      <w:r>
        <w:rPr>
          <w:sz w:val="24"/>
          <w:szCs w:val="24"/>
        </w:rPr>
        <w:t>executie</w:t>
      </w:r>
      <w:proofErr w:type="spellEnd"/>
      <w:r>
        <w:rPr>
          <w:sz w:val="24"/>
          <w:szCs w:val="24"/>
        </w:rPr>
        <w:t>;</w:t>
      </w:r>
    </w:p>
    <w:p w14:paraId="1E5A84DC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Atribuirea contractelor de achiziție publică și încheierea acordurilor cadru;</w:t>
      </w:r>
    </w:p>
    <w:p w14:paraId="11A7AF5C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Finalizarea procedurii de atribuire;</w:t>
      </w:r>
    </w:p>
    <w:p w14:paraId="68FF222E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Informarea candidaților / ofertanților;</w:t>
      </w:r>
    </w:p>
    <w:p w14:paraId="1ECF1CAC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Executarea contractului de achiziție publică / acordului-cadru – modificarea contractului de achiziție publică / acordului-cadru;</w:t>
      </w:r>
    </w:p>
    <w:p w14:paraId="0A8BC3C9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Contracte între profesioniști și autorități contractante – termenul de plată, dobânda legală penalizatoare;</w:t>
      </w:r>
    </w:p>
    <w:p w14:paraId="2EE2AC92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Termenul de contestare și efectele contestației;</w:t>
      </w:r>
    </w:p>
    <w:p w14:paraId="49031982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Soluţiile</w:t>
      </w:r>
      <w:proofErr w:type="spellEnd"/>
      <w:r>
        <w:rPr>
          <w:sz w:val="24"/>
          <w:szCs w:val="24"/>
        </w:rPr>
        <w:t xml:space="preserve"> pe care le poate </w:t>
      </w:r>
      <w:proofErr w:type="spellStart"/>
      <w:r>
        <w:rPr>
          <w:sz w:val="24"/>
          <w:szCs w:val="24"/>
        </w:rPr>
        <w:t>pronunţa</w:t>
      </w:r>
      <w:proofErr w:type="spellEnd"/>
      <w:r>
        <w:rPr>
          <w:sz w:val="24"/>
          <w:szCs w:val="24"/>
        </w:rPr>
        <w:t xml:space="preserve"> Consiliul Național pentru Soluționarea Contestațiilor;</w:t>
      </w:r>
    </w:p>
    <w:p w14:paraId="16F65A1C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Contestaţia</w:t>
      </w:r>
      <w:proofErr w:type="spellEnd"/>
      <w:r>
        <w:rPr>
          <w:sz w:val="24"/>
          <w:szCs w:val="24"/>
        </w:rPr>
        <w:t xml:space="preserve"> formulată pe cale judiciară;</w:t>
      </w:r>
    </w:p>
    <w:p w14:paraId="03EB9B66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Nulitatea contractelor;</w:t>
      </w:r>
    </w:p>
    <w:p w14:paraId="00B54684" w14:textId="77777777" w:rsidR="004D2743" w:rsidRDefault="00EA60CF">
      <w:pPr>
        <w:numPr>
          <w:ilvl w:val="0"/>
          <w:numId w:val="3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Organizarea și funcționarea Institutului de Cercetare-Dezvoltare în Genomică.</w:t>
      </w:r>
    </w:p>
    <w:p w14:paraId="455EDABE" w14:textId="77777777" w:rsidR="004D2743" w:rsidRDefault="004D27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sz w:val="24"/>
          <w:szCs w:val="24"/>
        </w:rPr>
      </w:pPr>
    </w:p>
    <w:sectPr w:rsidR="004D2743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E5F3" w14:textId="77777777" w:rsidR="00263F6C" w:rsidRDefault="00263F6C">
      <w:pPr>
        <w:spacing w:line="240" w:lineRule="auto"/>
      </w:pPr>
      <w:r>
        <w:separator/>
      </w:r>
    </w:p>
  </w:endnote>
  <w:endnote w:type="continuationSeparator" w:id="0">
    <w:p w14:paraId="5F44C2EA" w14:textId="77777777" w:rsidR="00263F6C" w:rsidRDefault="00263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4826" w14:textId="77777777" w:rsidR="004D2743" w:rsidRDefault="004D2743"/>
  <w:tbl>
    <w:tblPr>
      <w:tblStyle w:val="a8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4D2743" w14:paraId="2CB14A3F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C349B12" w14:textId="77777777" w:rsidR="004D2743" w:rsidRDefault="00EA60CF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792DBD07" w14:textId="77777777" w:rsidR="004D2743" w:rsidRDefault="00EA60CF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6AB9BE49" w14:textId="77777777" w:rsidR="004D2743" w:rsidRDefault="00EA60CF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2C5E363" w14:textId="77777777" w:rsidR="004D2743" w:rsidRDefault="00EA60CF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87103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87103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87A2157" w14:textId="77777777" w:rsidR="004D2743" w:rsidRDefault="004D274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52D7" w14:textId="77777777" w:rsidR="00263F6C" w:rsidRDefault="00263F6C">
      <w:pPr>
        <w:spacing w:line="240" w:lineRule="auto"/>
      </w:pPr>
      <w:r>
        <w:separator/>
      </w:r>
    </w:p>
  </w:footnote>
  <w:footnote w:type="continuationSeparator" w:id="0">
    <w:p w14:paraId="685EB10E" w14:textId="77777777" w:rsidR="00263F6C" w:rsidRDefault="00263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732F" w14:textId="77777777" w:rsidR="004D2743" w:rsidRDefault="00EA60CF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337FCC7D" wp14:editId="48D4A855">
          <wp:extent cx="7518400" cy="1289687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0C"/>
    <w:multiLevelType w:val="multilevel"/>
    <w:tmpl w:val="8D2A17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8AB"/>
    <w:multiLevelType w:val="multilevel"/>
    <w:tmpl w:val="E0687F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273B9"/>
    <w:multiLevelType w:val="multilevel"/>
    <w:tmpl w:val="8C90D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3D20AA"/>
    <w:multiLevelType w:val="multilevel"/>
    <w:tmpl w:val="8D78A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3C606B"/>
    <w:multiLevelType w:val="multilevel"/>
    <w:tmpl w:val="66F4067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F325F6C"/>
    <w:multiLevelType w:val="multilevel"/>
    <w:tmpl w:val="003EC3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D7D43"/>
    <w:multiLevelType w:val="multilevel"/>
    <w:tmpl w:val="71367D16"/>
    <w:lvl w:ilvl="0">
      <w:start w:val="1"/>
      <w:numFmt w:val="decimal"/>
      <w:lvlText w:val="%1."/>
      <w:lvlJc w:val="left"/>
      <w:pPr>
        <w:ind w:left="9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43"/>
    <w:rsid w:val="00263F6C"/>
    <w:rsid w:val="002E18CE"/>
    <w:rsid w:val="00311985"/>
    <w:rsid w:val="00324201"/>
    <w:rsid w:val="0035483F"/>
    <w:rsid w:val="004D2743"/>
    <w:rsid w:val="006076D0"/>
    <w:rsid w:val="00871031"/>
    <w:rsid w:val="00A62239"/>
    <w:rsid w:val="00BC731B"/>
    <w:rsid w:val="00D30A8D"/>
    <w:rsid w:val="00E47578"/>
    <w:rsid w:val="00EA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BF23"/>
  <w15:docId w15:val="{FA48C7AB-723E-4E7F-A02B-CBDDB62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1cXcP5PfIAEOSE0s6quCqlzrw==">CgMxLjA4AHIhMVFCT1N4c2dELUJRWnBLamtJVWJFanJVdGM5Vy1aaWta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8</cp:revision>
  <cp:lastPrinted>2024-11-15T13:20:00Z</cp:lastPrinted>
  <dcterms:created xsi:type="dcterms:W3CDTF">2024-11-13T12:46:00Z</dcterms:created>
  <dcterms:modified xsi:type="dcterms:W3CDTF">2024-11-18T10:54:00Z</dcterms:modified>
</cp:coreProperties>
</file>