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9405CB" w14:textId="77777777" w:rsidR="006577BD" w:rsidRDefault="006577BD" w:rsidP="006577BD">
      <w:pPr>
        <w:numPr>
          <w:ilvl w:val="0"/>
          <w:numId w:val="11"/>
        </w:numPr>
        <w:ind w:left="426"/>
        <w:jc w:val="both"/>
        <w:rPr>
          <w:b/>
          <w:sz w:val="24"/>
          <w:szCs w:val="24"/>
        </w:rPr>
      </w:pPr>
      <w:r>
        <w:rPr>
          <w:b/>
          <w:sz w:val="24"/>
          <w:szCs w:val="24"/>
        </w:rPr>
        <w:t>Bibliografie</w:t>
      </w:r>
    </w:p>
    <w:p w14:paraId="30AEFDB6" w14:textId="77777777" w:rsidR="006577BD" w:rsidRDefault="006577BD" w:rsidP="006577BD">
      <w:pPr>
        <w:numPr>
          <w:ilvl w:val="0"/>
          <w:numId w:val="4"/>
        </w:numPr>
        <w:jc w:val="both"/>
        <w:rPr>
          <w:sz w:val="24"/>
          <w:szCs w:val="24"/>
        </w:rPr>
      </w:pPr>
      <w:r>
        <w:rPr>
          <w:sz w:val="24"/>
          <w:szCs w:val="24"/>
        </w:rPr>
        <w:t xml:space="preserve">Pentru posturile de </w:t>
      </w:r>
      <w:r>
        <w:rPr>
          <w:b/>
          <w:sz w:val="24"/>
          <w:szCs w:val="24"/>
        </w:rPr>
        <w:t>administrator financiar grad I (S) și administrator financiar grad II (S) din cadrul Serviciului Financiar-Contabil</w:t>
      </w:r>
      <w:r>
        <w:rPr>
          <w:sz w:val="24"/>
          <w:szCs w:val="24"/>
        </w:rPr>
        <w:t>:</w:t>
      </w:r>
    </w:p>
    <w:p w14:paraId="4447F51A" w14:textId="77777777" w:rsidR="006577BD" w:rsidRDefault="006577BD" w:rsidP="006577BD">
      <w:pPr>
        <w:numPr>
          <w:ilvl w:val="0"/>
          <w:numId w:val="1"/>
        </w:numPr>
        <w:jc w:val="both"/>
        <w:rPr>
          <w:sz w:val="24"/>
          <w:szCs w:val="24"/>
        </w:rPr>
      </w:pPr>
      <w:r>
        <w:rPr>
          <w:sz w:val="24"/>
          <w:szCs w:val="24"/>
        </w:rPr>
        <w:t>Legea învățământului superior nr. 199/2023, cu modificările și completările ulterioare,</w:t>
      </w:r>
    </w:p>
    <w:p w14:paraId="1792B2F3" w14:textId="77777777" w:rsidR="006577BD" w:rsidRDefault="006577BD" w:rsidP="006577BD">
      <w:pPr>
        <w:numPr>
          <w:ilvl w:val="0"/>
          <w:numId w:val="1"/>
        </w:numPr>
        <w:jc w:val="both"/>
        <w:rPr>
          <w:sz w:val="24"/>
          <w:szCs w:val="24"/>
        </w:rPr>
      </w:pPr>
      <w:r>
        <w:rPr>
          <w:sz w:val="24"/>
          <w:szCs w:val="24"/>
        </w:rPr>
        <w:t>Legea nr. 500/2002 privind finanțele publice, cu modificările și completările ulterioare;</w:t>
      </w:r>
    </w:p>
    <w:p w14:paraId="71E7D935" w14:textId="77777777" w:rsidR="006577BD" w:rsidRDefault="006577BD" w:rsidP="006577BD">
      <w:pPr>
        <w:numPr>
          <w:ilvl w:val="0"/>
          <w:numId w:val="1"/>
        </w:numPr>
        <w:jc w:val="both"/>
        <w:rPr>
          <w:sz w:val="24"/>
          <w:szCs w:val="24"/>
        </w:rPr>
      </w:pPr>
      <w:r>
        <w:rPr>
          <w:sz w:val="24"/>
          <w:szCs w:val="24"/>
        </w:rPr>
        <w:t>Legea Contabilității nr. 82/1991, cu modificările și completările ulterioare;</w:t>
      </w:r>
    </w:p>
    <w:p w14:paraId="6684CAA6" w14:textId="77777777" w:rsidR="006577BD" w:rsidRDefault="006577BD" w:rsidP="006577BD">
      <w:pPr>
        <w:numPr>
          <w:ilvl w:val="0"/>
          <w:numId w:val="1"/>
        </w:numPr>
        <w:jc w:val="both"/>
        <w:rPr>
          <w:sz w:val="24"/>
          <w:szCs w:val="24"/>
        </w:rPr>
      </w:pPr>
      <w:r>
        <w:rPr>
          <w:sz w:val="24"/>
          <w:szCs w:val="24"/>
        </w:rPr>
        <w:t>Ordinul Ministerului Finanțelor Publice nr. 1.792/2002 pentru aprobarea Normelor metodologice privind angajarea, lichidarea, ordonanțarea și plata cheltuielilor instituțiilor publice, precum și organizarea, evidenta și raportarea angajamentelor bugetare și legale, cu modificările și completările ulterioare;</w:t>
      </w:r>
    </w:p>
    <w:p w14:paraId="0F5F4103" w14:textId="77777777" w:rsidR="006577BD" w:rsidRDefault="006577BD" w:rsidP="006577BD">
      <w:pPr>
        <w:numPr>
          <w:ilvl w:val="0"/>
          <w:numId w:val="1"/>
        </w:numPr>
        <w:jc w:val="both"/>
        <w:rPr>
          <w:sz w:val="24"/>
          <w:szCs w:val="24"/>
        </w:rPr>
      </w:pPr>
      <w:r>
        <w:rPr>
          <w:sz w:val="24"/>
          <w:szCs w:val="24"/>
        </w:rPr>
        <w:t>Ordinul Ministerului Finanțelor Publice nr. 1.917/2005 pentru aprobarea Normelor metodologice privind organizarea și conducerea contabilității instituțiilor publice, Planul de conturi pentru instituțiile publice și instrucțiunile de aplicare a acestuia, cu modificările și completările ulterioare;</w:t>
      </w:r>
    </w:p>
    <w:p w14:paraId="544DC97C" w14:textId="77777777" w:rsidR="006577BD" w:rsidRDefault="006577BD" w:rsidP="006577BD">
      <w:pPr>
        <w:numPr>
          <w:ilvl w:val="0"/>
          <w:numId w:val="1"/>
        </w:numPr>
        <w:jc w:val="both"/>
        <w:rPr>
          <w:sz w:val="24"/>
          <w:szCs w:val="24"/>
        </w:rPr>
      </w:pPr>
      <w:r>
        <w:rPr>
          <w:sz w:val="24"/>
          <w:szCs w:val="24"/>
        </w:rPr>
        <w:t>HG nr. 693/2021 privind înființarea, organizarea și funcționarea Institutului de Cercetare-Dezvoltare în Genomică, cu modificările ulterioare;</w:t>
      </w:r>
    </w:p>
    <w:p w14:paraId="47377921" w14:textId="77777777" w:rsidR="006577BD" w:rsidRDefault="006577BD" w:rsidP="006577BD">
      <w:pPr>
        <w:numPr>
          <w:ilvl w:val="0"/>
          <w:numId w:val="1"/>
        </w:numPr>
        <w:jc w:val="both"/>
        <w:rPr>
          <w:sz w:val="24"/>
          <w:szCs w:val="24"/>
        </w:rPr>
      </w:pPr>
      <w:r>
        <w:rPr>
          <w:sz w:val="24"/>
          <w:szCs w:val="24"/>
        </w:rPr>
        <w:t xml:space="preserve">Regulamentul de Organizare </w:t>
      </w:r>
      <w:proofErr w:type="spellStart"/>
      <w:r>
        <w:rPr>
          <w:sz w:val="24"/>
          <w:szCs w:val="24"/>
        </w:rPr>
        <w:t>şi</w:t>
      </w:r>
      <w:proofErr w:type="spellEnd"/>
      <w:r>
        <w:rPr>
          <w:sz w:val="24"/>
          <w:szCs w:val="24"/>
        </w:rPr>
        <w:t xml:space="preserve"> Funcționare al Institutului de Cercetare-Dezvoltare în Genomică, publicat pe pagina de internet https://genomica.gov.ro.</w:t>
      </w:r>
    </w:p>
    <w:p w14:paraId="362ED416" w14:textId="77777777" w:rsidR="006577BD" w:rsidRDefault="006577BD" w:rsidP="006577BD">
      <w:pPr>
        <w:jc w:val="both"/>
        <w:rPr>
          <w:b/>
          <w:sz w:val="24"/>
          <w:szCs w:val="24"/>
        </w:rPr>
      </w:pPr>
    </w:p>
    <w:p w14:paraId="3D8B1574" w14:textId="77777777" w:rsidR="006577BD" w:rsidRDefault="006577BD" w:rsidP="006577BD">
      <w:pPr>
        <w:numPr>
          <w:ilvl w:val="0"/>
          <w:numId w:val="11"/>
        </w:numPr>
        <w:ind w:left="426"/>
        <w:jc w:val="both"/>
        <w:rPr>
          <w:b/>
          <w:sz w:val="24"/>
          <w:szCs w:val="24"/>
        </w:rPr>
      </w:pPr>
      <w:r>
        <w:rPr>
          <w:b/>
          <w:sz w:val="24"/>
          <w:szCs w:val="24"/>
        </w:rPr>
        <w:t>Tematică</w:t>
      </w:r>
    </w:p>
    <w:p w14:paraId="1BC2C53B" w14:textId="77777777" w:rsidR="006577BD" w:rsidRDefault="006577BD" w:rsidP="006577BD">
      <w:pPr>
        <w:numPr>
          <w:ilvl w:val="0"/>
          <w:numId w:val="16"/>
        </w:numPr>
        <w:jc w:val="both"/>
        <w:rPr>
          <w:sz w:val="24"/>
          <w:szCs w:val="24"/>
        </w:rPr>
      </w:pPr>
      <w:r>
        <w:rPr>
          <w:sz w:val="24"/>
          <w:szCs w:val="24"/>
        </w:rPr>
        <w:t xml:space="preserve">Pentru posturile de </w:t>
      </w:r>
      <w:r>
        <w:rPr>
          <w:b/>
          <w:sz w:val="24"/>
          <w:szCs w:val="24"/>
        </w:rPr>
        <w:t>administrator financiar grad I (S) și administrator financiar grad II (S) din cadrul Serviciului Financiar-Contabil</w:t>
      </w:r>
      <w:r>
        <w:rPr>
          <w:sz w:val="24"/>
          <w:szCs w:val="24"/>
        </w:rPr>
        <w:t>:</w:t>
      </w:r>
    </w:p>
    <w:p w14:paraId="1A1523DB" w14:textId="77777777" w:rsidR="006577BD" w:rsidRDefault="006577BD" w:rsidP="006577BD">
      <w:pPr>
        <w:numPr>
          <w:ilvl w:val="0"/>
          <w:numId w:val="7"/>
        </w:numPr>
        <w:jc w:val="both"/>
        <w:rPr>
          <w:sz w:val="24"/>
          <w:szCs w:val="24"/>
        </w:rPr>
      </w:pPr>
      <w:r>
        <w:rPr>
          <w:sz w:val="24"/>
          <w:szCs w:val="24"/>
        </w:rPr>
        <w:t xml:space="preserve">Finanțarea instituțiilor publice. Cadrul general, principiile și procedurile privind formarea, administrarea, angajarea și utilizarea fondurilor publice. Particularități ale finanțării instituțiilor de învățământ superior și a celor din subordinea acestora. </w:t>
      </w:r>
    </w:p>
    <w:p w14:paraId="380D3D9C" w14:textId="77777777" w:rsidR="006577BD" w:rsidRDefault="006577BD" w:rsidP="006577BD">
      <w:pPr>
        <w:numPr>
          <w:ilvl w:val="0"/>
          <w:numId w:val="7"/>
        </w:numPr>
        <w:jc w:val="both"/>
        <w:rPr>
          <w:sz w:val="24"/>
          <w:szCs w:val="24"/>
        </w:rPr>
      </w:pPr>
      <w:r>
        <w:rPr>
          <w:sz w:val="24"/>
          <w:szCs w:val="24"/>
        </w:rPr>
        <w:t>Bugetul de venituri și cheltuieli la instituțiile publice. Principiile de bază ale elaborării și execuției bugetului, etapele elaborării, mecanismul aprobării bugetului în instituțiile publice, Clasificarea veniturilor și cheltuielilor bugetare pentru instituțiile publice.</w:t>
      </w:r>
    </w:p>
    <w:p w14:paraId="6F015439" w14:textId="77777777" w:rsidR="006577BD" w:rsidRDefault="006577BD" w:rsidP="006577BD">
      <w:pPr>
        <w:numPr>
          <w:ilvl w:val="0"/>
          <w:numId w:val="7"/>
        </w:numPr>
        <w:jc w:val="both"/>
        <w:rPr>
          <w:sz w:val="24"/>
          <w:szCs w:val="24"/>
        </w:rPr>
      </w:pPr>
      <w:r>
        <w:rPr>
          <w:sz w:val="24"/>
          <w:szCs w:val="24"/>
        </w:rPr>
        <w:t xml:space="preserve">Angajarea, lichidarea, ordonanțarea și plata cheltuielilor instituțiilor publice. Organizarea evidenței și </w:t>
      </w:r>
      <w:proofErr w:type="spellStart"/>
      <w:r>
        <w:rPr>
          <w:sz w:val="24"/>
          <w:szCs w:val="24"/>
        </w:rPr>
        <w:t>raportaera</w:t>
      </w:r>
      <w:proofErr w:type="spellEnd"/>
      <w:r>
        <w:rPr>
          <w:sz w:val="24"/>
          <w:szCs w:val="24"/>
        </w:rPr>
        <w:t xml:space="preserve"> angajamentelor bugetare și legale.</w:t>
      </w:r>
    </w:p>
    <w:p w14:paraId="210904A5" w14:textId="77777777" w:rsidR="006577BD" w:rsidRDefault="006577BD" w:rsidP="006577BD">
      <w:pPr>
        <w:numPr>
          <w:ilvl w:val="0"/>
          <w:numId w:val="7"/>
        </w:numPr>
        <w:jc w:val="both"/>
        <w:rPr>
          <w:sz w:val="24"/>
          <w:szCs w:val="24"/>
        </w:rPr>
      </w:pPr>
      <w:r>
        <w:rPr>
          <w:sz w:val="24"/>
          <w:szCs w:val="24"/>
        </w:rPr>
        <w:t>Contabilitatea instituțiilor publice. Principiile de bază ale contabilității, particularități privind organizarea contabilității la instituții publice, reglementări contabile specifice.</w:t>
      </w:r>
    </w:p>
    <w:p w14:paraId="7204042E" w14:textId="77777777" w:rsidR="006577BD" w:rsidRDefault="006577BD" w:rsidP="006577BD">
      <w:pPr>
        <w:numPr>
          <w:ilvl w:val="0"/>
          <w:numId w:val="7"/>
        </w:numPr>
        <w:jc w:val="both"/>
        <w:rPr>
          <w:sz w:val="24"/>
          <w:szCs w:val="24"/>
        </w:rPr>
      </w:pPr>
      <w:r>
        <w:rPr>
          <w:sz w:val="24"/>
          <w:szCs w:val="24"/>
        </w:rPr>
        <w:t>Modalități de organizare a activității financiar-contabile în instituțiile publice.</w:t>
      </w:r>
    </w:p>
    <w:p w14:paraId="1F215B8A" w14:textId="77777777" w:rsidR="006577BD" w:rsidRPr="00915827" w:rsidRDefault="006577BD" w:rsidP="006577BD">
      <w:pPr>
        <w:numPr>
          <w:ilvl w:val="0"/>
          <w:numId w:val="7"/>
        </w:numPr>
        <w:jc w:val="both"/>
        <w:rPr>
          <w:sz w:val="24"/>
          <w:szCs w:val="24"/>
        </w:rPr>
      </w:pPr>
      <w:r w:rsidRPr="00915827">
        <w:rPr>
          <w:sz w:val="24"/>
          <w:szCs w:val="24"/>
        </w:rPr>
        <w:t>Organizarea și funcționarea Institutului de Cercetare-Dezvoltare în Genomică.</w:t>
      </w:r>
    </w:p>
    <w:p w14:paraId="225D6C8B" w14:textId="77777777" w:rsidR="0042328B" w:rsidRPr="006577BD" w:rsidRDefault="0042328B" w:rsidP="006577BD"/>
    <w:sectPr w:rsidR="0042328B" w:rsidRPr="006577BD">
      <w:headerReference w:type="default" r:id="rId8"/>
      <w:footerReference w:type="default" r:id="rId9"/>
      <w:pgSz w:w="11906" w:h="16838"/>
      <w:pgMar w:top="1980" w:right="1440" w:bottom="1185" w:left="1440" w:header="144"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21F1" w14:textId="77777777" w:rsidR="003149CC" w:rsidRDefault="003149CC">
      <w:pPr>
        <w:spacing w:line="240" w:lineRule="auto"/>
      </w:pPr>
      <w:r>
        <w:separator/>
      </w:r>
    </w:p>
  </w:endnote>
  <w:endnote w:type="continuationSeparator" w:id="0">
    <w:p w14:paraId="7C28D56F" w14:textId="77777777" w:rsidR="003149CC" w:rsidRDefault="00314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893D" w14:textId="77777777" w:rsidR="0042328B" w:rsidRDefault="0042328B"/>
  <w:tbl>
    <w:tblPr>
      <w:tblStyle w:val="a6"/>
      <w:tblW w:w="9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05"/>
      <w:gridCol w:w="1350"/>
    </w:tblGrid>
    <w:tr w:rsidR="0042328B" w14:paraId="38825F52" w14:textId="77777777">
      <w:trPr>
        <w:trHeight w:val="469"/>
      </w:trPr>
      <w:tc>
        <w:tcPr>
          <w:tcW w:w="7905" w:type="dxa"/>
          <w:tcBorders>
            <w:top w:val="nil"/>
            <w:left w:val="nil"/>
            <w:bottom w:val="nil"/>
            <w:right w:val="nil"/>
          </w:tcBorders>
          <w:shd w:val="clear" w:color="auto" w:fill="auto"/>
          <w:tcMar>
            <w:top w:w="100" w:type="dxa"/>
            <w:left w:w="100" w:type="dxa"/>
            <w:bottom w:w="100" w:type="dxa"/>
            <w:right w:w="100" w:type="dxa"/>
          </w:tcMar>
          <w:vAlign w:val="center"/>
        </w:tcPr>
        <w:p w14:paraId="39AC9F2F" w14:textId="77777777" w:rsidR="0042328B" w:rsidRDefault="00FD32C2">
          <w:pPr>
            <w:widowControl w:val="0"/>
            <w:ind w:left="-90"/>
            <w:rPr>
              <w:sz w:val="20"/>
              <w:szCs w:val="20"/>
            </w:rPr>
          </w:pPr>
          <w:r>
            <w:rPr>
              <w:sz w:val="20"/>
              <w:szCs w:val="20"/>
            </w:rPr>
            <w:t>Str. Dionisie Lupu nr. 37, Sector 2, București</w:t>
          </w:r>
        </w:p>
        <w:p w14:paraId="2E63A67E" w14:textId="77777777" w:rsidR="0042328B" w:rsidRDefault="00FD32C2">
          <w:pPr>
            <w:widowControl w:val="0"/>
            <w:ind w:left="-90"/>
            <w:rPr>
              <w:sz w:val="20"/>
              <w:szCs w:val="20"/>
            </w:rPr>
          </w:pPr>
          <w:r>
            <w:rPr>
              <w:sz w:val="20"/>
              <w:szCs w:val="20"/>
            </w:rPr>
            <w:t>contact@genomica.gov.ro</w:t>
          </w:r>
        </w:p>
        <w:p w14:paraId="3FF6F023" w14:textId="77777777" w:rsidR="0042328B" w:rsidRDefault="00FD32C2">
          <w:pPr>
            <w:widowControl w:val="0"/>
            <w:ind w:left="-90"/>
            <w:rPr>
              <w:sz w:val="20"/>
              <w:szCs w:val="20"/>
            </w:rPr>
          </w:pPr>
          <w:r>
            <w:rPr>
              <w:sz w:val="20"/>
              <w:szCs w:val="20"/>
            </w:rPr>
            <w:t>www.genomica.gov.ro</w:t>
          </w:r>
        </w:p>
      </w:tc>
      <w:tc>
        <w:tcPr>
          <w:tcW w:w="1350" w:type="dxa"/>
          <w:tcBorders>
            <w:top w:val="nil"/>
            <w:left w:val="nil"/>
            <w:bottom w:val="nil"/>
            <w:right w:val="nil"/>
          </w:tcBorders>
          <w:shd w:val="clear" w:color="auto" w:fill="auto"/>
          <w:tcMar>
            <w:top w:w="100" w:type="dxa"/>
            <w:left w:w="100" w:type="dxa"/>
            <w:bottom w:w="100" w:type="dxa"/>
            <w:right w:w="100" w:type="dxa"/>
          </w:tcMar>
          <w:vAlign w:val="center"/>
        </w:tcPr>
        <w:p w14:paraId="7F6749AD" w14:textId="77777777" w:rsidR="0042328B" w:rsidRDefault="00FD32C2">
          <w:pPr>
            <w:widowControl w:val="0"/>
            <w:ind w:right="85"/>
            <w:jc w:val="right"/>
            <w:rPr>
              <w:sz w:val="20"/>
              <w:szCs w:val="20"/>
            </w:rPr>
          </w:pPr>
          <w:r>
            <w:rPr>
              <w:sz w:val="20"/>
              <w:szCs w:val="20"/>
            </w:rPr>
            <w:t xml:space="preserve">Pagina </w:t>
          </w:r>
          <w:r>
            <w:rPr>
              <w:sz w:val="20"/>
              <w:szCs w:val="20"/>
            </w:rPr>
            <w:fldChar w:fldCharType="begin"/>
          </w:r>
          <w:r>
            <w:rPr>
              <w:sz w:val="20"/>
              <w:szCs w:val="20"/>
            </w:rPr>
            <w:instrText>PAGE</w:instrText>
          </w:r>
          <w:r>
            <w:rPr>
              <w:sz w:val="20"/>
              <w:szCs w:val="20"/>
            </w:rPr>
            <w:fldChar w:fldCharType="separate"/>
          </w:r>
          <w:r w:rsidR="0028065D">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28065D">
            <w:rPr>
              <w:noProof/>
              <w:sz w:val="20"/>
              <w:szCs w:val="20"/>
            </w:rPr>
            <w:t>2</w:t>
          </w:r>
          <w:r>
            <w:rPr>
              <w:sz w:val="20"/>
              <w:szCs w:val="20"/>
            </w:rPr>
            <w:fldChar w:fldCharType="end"/>
          </w:r>
        </w:p>
      </w:tc>
    </w:tr>
  </w:tbl>
  <w:p w14:paraId="7C8F8ECC" w14:textId="77777777" w:rsidR="0042328B" w:rsidRDefault="0042328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F940" w14:textId="77777777" w:rsidR="003149CC" w:rsidRDefault="003149CC">
      <w:pPr>
        <w:spacing w:line="240" w:lineRule="auto"/>
      </w:pPr>
      <w:r>
        <w:separator/>
      </w:r>
    </w:p>
  </w:footnote>
  <w:footnote w:type="continuationSeparator" w:id="0">
    <w:p w14:paraId="17CE5F13" w14:textId="77777777" w:rsidR="003149CC" w:rsidRDefault="00314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FA51" w14:textId="77777777" w:rsidR="0042328B" w:rsidRDefault="00FD32C2">
    <w:pPr>
      <w:spacing w:line="240" w:lineRule="auto"/>
      <w:ind w:left="-1440" w:right="-1410"/>
      <w:jc w:val="both"/>
    </w:pPr>
    <w:r>
      <w:rPr>
        <w:noProof/>
        <w:sz w:val="24"/>
        <w:szCs w:val="24"/>
      </w:rPr>
      <w:drawing>
        <wp:inline distT="114300" distB="114300" distL="114300" distR="114300" wp14:anchorId="4910A444" wp14:editId="1E7A97CD">
          <wp:extent cx="7518400" cy="128968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412"/>
                  <a:stretch>
                    <a:fillRect/>
                  </a:stretch>
                </pic:blipFill>
                <pic:spPr>
                  <a:xfrm>
                    <a:off x="0" y="0"/>
                    <a:ext cx="7518400" cy="128968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92A"/>
    <w:multiLevelType w:val="multilevel"/>
    <w:tmpl w:val="46268B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292FA7"/>
    <w:multiLevelType w:val="multilevel"/>
    <w:tmpl w:val="9362B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4620F0"/>
    <w:multiLevelType w:val="multilevel"/>
    <w:tmpl w:val="9CD403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298E7403"/>
    <w:multiLevelType w:val="multilevel"/>
    <w:tmpl w:val="F54AD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2F2C665C"/>
    <w:multiLevelType w:val="multilevel"/>
    <w:tmpl w:val="4BFEA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B23A28"/>
    <w:multiLevelType w:val="multilevel"/>
    <w:tmpl w:val="7B3E7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462A2A"/>
    <w:multiLevelType w:val="multilevel"/>
    <w:tmpl w:val="6B5416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4A1565"/>
    <w:multiLevelType w:val="multilevel"/>
    <w:tmpl w:val="05D40792"/>
    <w:lvl w:ilvl="0">
      <w:start w:val="19"/>
      <w:numFmt w:val="bullet"/>
      <w:lvlText w:val="-"/>
      <w:lvlJc w:val="left"/>
      <w:pPr>
        <w:ind w:left="2291" w:hanging="360"/>
      </w:pPr>
      <w:rPr>
        <w:u w:val="none"/>
      </w:rPr>
    </w:lvl>
    <w:lvl w:ilvl="1">
      <w:start w:val="1"/>
      <w:numFmt w:val="bullet"/>
      <w:lvlText w:val="o"/>
      <w:lvlJc w:val="left"/>
      <w:pPr>
        <w:ind w:left="3011" w:hanging="360"/>
      </w:pPr>
      <w:rPr>
        <w:u w:val="none"/>
      </w:rPr>
    </w:lvl>
    <w:lvl w:ilvl="2">
      <w:start w:val="1"/>
      <w:numFmt w:val="bullet"/>
      <w:lvlText w:val="▪"/>
      <w:lvlJc w:val="left"/>
      <w:pPr>
        <w:ind w:left="3731" w:hanging="360"/>
      </w:pPr>
      <w:rPr>
        <w:u w:val="none"/>
      </w:rPr>
    </w:lvl>
    <w:lvl w:ilvl="3">
      <w:start w:val="1"/>
      <w:numFmt w:val="bullet"/>
      <w:lvlText w:val="●"/>
      <w:lvlJc w:val="left"/>
      <w:pPr>
        <w:ind w:left="4451" w:hanging="360"/>
      </w:pPr>
      <w:rPr>
        <w:u w:val="none"/>
      </w:rPr>
    </w:lvl>
    <w:lvl w:ilvl="4">
      <w:start w:val="1"/>
      <w:numFmt w:val="bullet"/>
      <w:lvlText w:val="o"/>
      <w:lvlJc w:val="left"/>
      <w:pPr>
        <w:ind w:left="5171" w:hanging="360"/>
      </w:pPr>
      <w:rPr>
        <w:u w:val="none"/>
      </w:rPr>
    </w:lvl>
    <w:lvl w:ilvl="5">
      <w:start w:val="1"/>
      <w:numFmt w:val="bullet"/>
      <w:lvlText w:val="▪"/>
      <w:lvlJc w:val="left"/>
      <w:pPr>
        <w:ind w:left="5891" w:hanging="360"/>
      </w:pPr>
      <w:rPr>
        <w:u w:val="none"/>
      </w:rPr>
    </w:lvl>
    <w:lvl w:ilvl="6">
      <w:start w:val="1"/>
      <w:numFmt w:val="bullet"/>
      <w:lvlText w:val="●"/>
      <w:lvlJc w:val="left"/>
      <w:pPr>
        <w:ind w:left="6611" w:hanging="360"/>
      </w:pPr>
      <w:rPr>
        <w:u w:val="none"/>
      </w:rPr>
    </w:lvl>
    <w:lvl w:ilvl="7">
      <w:start w:val="1"/>
      <w:numFmt w:val="bullet"/>
      <w:lvlText w:val="o"/>
      <w:lvlJc w:val="left"/>
      <w:pPr>
        <w:ind w:left="7331" w:hanging="360"/>
      </w:pPr>
      <w:rPr>
        <w:u w:val="none"/>
      </w:rPr>
    </w:lvl>
    <w:lvl w:ilvl="8">
      <w:start w:val="1"/>
      <w:numFmt w:val="bullet"/>
      <w:lvlText w:val="▪"/>
      <w:lvlJc w:val="left"/>
      <w:pPr>
        <w:ind w:left="8051" w:hanging="360"/>
      </w:pPr>
      <w:rPr>
        <w:u w:val="none"/>
      </w:rPr>
    </w:lvl>
  </w:abstractNum>
  <w:abstractNum w:abstractNumId="8" w15:restartNumberingAfterBreak="0">
    <w:nsid w:val="42742338"/>
    <w:multiLevelType w:val="multilevel"/>
    <w:tmpl w:val="A3EAE22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E3768C5"/>
    <w:multiLevelType w:val="multilevel"/>
    <w:tmpl w:val="1C7C0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53515A"/>
    <w:multiLevelType w:val="multilevel"/>
    <w:tmpl w:val="3B8249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382692F"/>
    <w:multiLevelType w:val="multilevel"/>
    <w:tmpl w:val="0C4064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C2F45EE"/>
    <w:multiLevelType w:val="multilevel"/>
    <w:tmpl w:val="0D3E7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7B2769"/>
    <w:multiLevelType w:val="multilevel"/>
    <w:tmpl w:val="24A899D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73570F37"/>
    <w:multiLevelType w:val="multilevel"/>
    <w:tmpl w:val="C49AD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75C5D88"/>
    <w:multiLevelType w:val="multilevel"/>
    <w:tmpl w:val="E4B0BC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92841A3"/>
    <w:multiLevelType w:val="multilevel"/>
    <w:tmpl w:val="994EC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6"/>
  </w:num>
  <w:num w:numId="3">
    <w:abstractNumId w:val="1"/>
  </w:num>
  <w:num w:numId="4">
    <w:abstractNumId w:val="15"/>
  </w:num>
  <w:num w:numId="5">
    <w:abstractNumId w:val="0"/>
  </w:num>
  <w:num w:numId="6">
    <w:abstractNumId w:val="6"/>
  </w:num>
  <w:num w:numId="7">
    <w:abstractNumId w:val="9"/>
  </w:num>
  <w:num w:numId="8">
    <w:abstractNumId w:val="4"/>
  </w:num>
  <w:num w:numId="9">
    <w:abstractNumId w:val="14"/>
  </w:num>
  <w:num w:numId="10">
    <w:abstractNumId w:val="2"/>
  </w:num>
  <w:num w:numId="11">
    <w:abstractNumId w:val="3"/>
  </w:num>
  <w:num w:numId="12">
    <w:abstractNumId w:val="8"/>
  </w:num>
  <w:num w:numId="13">
    <w:abstractNumId w:val="11"/>
  </w:num>
  <w:num w:numId="14">
    <w:abstractNumId w:val="13"/>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8B"/>
    <w:rsid w:val="0028065D"/>
    <w:rsid w:val="003149CC"/>
    <w:rsid w:val="0042328B"/>
    <w:rsid w:val="006577BD"/>
    <w:rsid w:val="00FD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6CDB"/>
  <w15:docId w15:val="{19D07638-DD62-409C-AF37-AA034786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spar">
    <w:name w:val="s_par"/>
    <w:basedOn w:val="DefaultParagraphFont"/>
    <w:rsid w:val="00BC199A"/>
  </w:style>
  <w:style w:type="paragraph" w:styleId="NormalWeb">
    <w:name w:val="Normal (Web)"/>
    <w:basedOn w:val="Normal"/>
    <w:uiPriority w:val="99"/>
    <w:semiHidden/>
    <w:unhideWhenUsed/>
    <w:rsid w:val="000C16B9"/>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BD15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C2351"/>
    <w:pPr>
      <w:spacing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locked/>
    <w:rsid w:val="007C2351"/>
    <w:rPr>
      <w:rFonts w:ascii="Times New Roman" w:eastAsia="Times New Roman" w:hAnsi="Times New Roman" w:cs="Times New Roman"/>
      <w:sz w:val="24"/>
      <w:szCs w:val="24"/>
      <w:lang w:val="ro-RO" w:eastAsia="en-US"/>
    </w:r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xRx6+vnxjNX4qRvh/JsbuNWMA==">CgMxLjA4AHIhMWp4X1lxWnZBWEFLcXk1OXBCc3lMQUJ5Tk1laE1fVW1u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Administrator_Aracip</dc:creator>
  <cp:lastModifiedBy>Ioana I. Nadasan</cp:lastModifiedBy>
  <cp:revision>3</cp:revision>
  <dcterms:created xsi:type="dcterms:W3CDTF">2024-11-15T14:26:00Z</dcterms:created>
  <dcterms:modified xsi:type="dcterms:W3CDTF">2024-11-19T09:14:00Z</dcterms:modified>
</cp:coreProperties>
</file>